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惠仲土（用地）挂[2024]044号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eastAsia" w:ascii="仿宋_GB2312" w:hAnsi="仿宋_GB2312" w:eastAsia="仿宋_GB2312" w:cs="仿宋_GB2312"/>
          <w:color w:val="auto"/>
          <w:sz w:val="32"/>
          <w:szCs w:val="32"/>
          <w:lang w:eastAsia="zh-CN"/>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w:t>
      </w:r>
      <w:bookmarkStart w:id="0" w:name="_GoBack"/>
      <w:bookmarkEnd w:id="0"/>
      <w:r>
        <w:rPr>
          <w:rFonts w:hint="eastAsia" w:ascii="仿宋_GB2312" w:hAnsi="仿宋_GB2312" w:eastAsia="仿宋_GB2312" w:cs="仿宋_GB2312"/>
          <w:color w:val="auto"/>
          <w:sz w:val="32"/>
          <w:szCs w:val="32"/>
        </w:rPr>
        <w:t>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6、《仲恺高新区产业项目监管协议》；</w:t>
      </w:r>
    </w:p>
    <w:p>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，密切关注交易动态。竞买人应当在电子挂牌交易时限截止后5分钟内做出是否参加电子限时竞价的决定并提交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2FF0D3E"/>
    <w:rsid w:val="03724373"/>
    <w:rsid w:val="040102F4"/>
    <w:rsid w:val="045A68D4"/>
    <w:rsid w:val="04645C15"/>
    <w:rsid w:val="050A33D7"/>
    <w:rsid w:val="0519093C"/>
    <w:rsid w:val="058544B0"/>
    <w:rsid w:val="061C3AFC"/>
    <w:rsid w:val="06CE2C04"/>
    <w:rsid w:val="071F564E"/>
    <w:rsid w:val="07BA7581"/>
    <w:rsid w:val="07D531A4"/>
    <w:rsid w:val="08613A34"/>
    <w:rsid w:val="098C106B"/>
    <w:rsid w:val="09A33DB0"/>
    <w:rsid w:val="09C231D7"/>
    <w:rsid w:val="09D424D6"/>
    <w:rsid w:val="0AB14D84"/>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EF2A2D"/>
    <w:rsid w:val="1BF7487C"/>
    <w:rsid w:val="1BFB16BA"/>
    <w:rsid w:val="1C521863"/>
    <w:rsid w:val="1C8704CE"/>
    <w:rsid w:val="1CD253BA"/>
    <w:rsid w:val="1DA56071"/>
    <w:rsid w:val="1E2416B9"/>
    <w:rsid w:val="1E641C85"/>
    <w:rsid w:val="1EA73BF8"/>
    <w:rsid w:val="1EEF0614"/>
    <w:rsid w:val="1F7A0F42"/>
    <w:rsid w:val="1FDF2C6E"/>
    <w:rsid w:val="20113F02"/>
    <w:rsid w:val="203007D5"/>
    <w:rsid w:val="20DB0D61"/>
    <w:rsid w:val="21402895"/>
    <w:rsid w:val="218D2EA7"/>
    <w:rsid w:val="2202027F"/>
    <w:rsid w:val="228A6AE9"/>
    <w:rsid w:val="22E32245"/>
    <w:rsid w:val="245808D2"/>
    <w:rsid w:val="25BB7578"/>
    <w:rsid w:val="25E330AB"/>
    <w:rsid w:val="27192239"/>
    <w:rsid w:val="2788684E"/>
    <w:rsid w:val="27A62FF7"/>
    <w:rsid w:val="27A74D7C"/>
    <w:rsid w:val="282453AA"/>
    <w:rsid w:val="28A132A6"/>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1D21963"/>
    <w:rsid w:val="32307527"/>
    <w:rsid w:val="32E938F2"/>
    <w:rsid w:val="333B0C55"/>
    <w:rsid w:val="33662EA5"/>
    <w:rsid w:val="33D35A04"/>
    <w:rsid w:val="34C7197C"/>
    <w:rsid w:val="35596499"/>
    <w:rsid w:val="3793014E"/>
    <w:rsid w:val="38371535"/>
    <w:rsid w:val="38BF1AA8"/>
    <w:rsid w:val="390F30E3"/>
    <w:rsid w:val="3912357B"/>
    <w:rsid w:val="39430D73"/>
    <w:rsid w:val="395C7663"/>
    <w:rsid w:val="39E64097"/>
    <w:rsid w:val="3A07719C"/>
    <w:rsid w:val="3A09705F"/>
    <w:rsid w:val="3BB258FD"/>
    <w:rsid w:val="3C0245EB"/>
    <w:rsid w:val="3C0D6072"/>
    <w:rsid w:val="3C7066EA"/>
    <w:rsid w:val="3CA1589B"/>
    <w:rsid w:val="3CF142DC"/>
    <w:rsid w:val="3D1D7EC9"/>
    <w:rsid w:val="3D753E5E"/>
    <w:rsid w:val="3DA31CA2"/>
    <w:rsid w:val="3E857C09"/>
    <w:rsid w:val="3ECF7B90"/>
    <w:rsid w:val="404B5A4D"/>
    <w:rsid w:val="40876A0E"/>
    <w:rsid w:val="413A6E60"/>
    <w:rsid w:val="41440F5D"/>
    <w:rsid w:val="41521545"/>
    <w:rsid w:val="41FB7508"/>
    <w:rsid w:val="42FF6124"/>
    <w:rsid w:val="43322E8B"/>
    <w:rsid w:val="4349577B"/>
    <w:rsid w:val="43C31733"/>
    <w:rsid w:val="448B092F"/>
    <w:rsid w:val="44CB37C9"/>
    <w:rsid w:val="44F2741B"/>
    <w:rsid w:val="45515E43"/>
    <w:rsid w:val="45D322EC"/>
    <w:rsid w:val="47896D0A"/>
    <w:rsid w:val="47CB72B8"/>
    <w:rsid w:val="481B08EE"/>
    <w:rsid w:val="49AB5B8C"/>
    <w:rsid w:val="49FB3C4B"/>
    <w:rsid w:val="4A293C80"/>
    <w:rsid w:val="4A3C6D3F"/>
    <w:rsid w:val="4B833F0F"/>
    <w:rsid w:val="4C254305"/>
    <w:rsid w:val="4CA54126"/>
    <w:rsid w:val="4CAC2465"/>
    <w:rsid w:val="4CD7201B"/>
    <w:rsid w:val="4CE20586"/>
    <w:rsid w:val="4D0A7CEF"/>
    <w:rsid w:val="4DEF7E0D"/>
    <w:rsid w:val="4EF720A7"/>
    <w:rsid w:val="4EFE54A8"/>
    <w:rsid w:val="4F320F05"/>
    <w:rsid w:val="4F544146"/>
    <w:rsid w:val="4FB82E43"/>
    <w:rsid w:val="4FC541E1"/>
    <w:rsid w:val="4FC64547"/>
    <w:rsid w:val="50C36E91"/>
    <w:rsid w:val="511D3D61"/>
    <w:rsid w:val="51B55A33"/>
    <w:rsid w:val="51BF53F5"/>
    <w:rsid w:val="52054D48"/>
    <w:rsid w:val="521411ED"/>
    <w:rsid w:val="52D36F17"/>
    <w:rsid w:val="52FD319D"/>
    <w:rsid w:val="531147F6"/>
    <w:rsid w:val="53EB6C39"/>
    <w:rsid w:val="54074ECA"/>
    <w:rsid w:val="54A573E2"/>
    <w:rsid w:val="54D22B87"/>
    <w:rsid w:val="54E55CB6"/>
    <w:rsid w:val="54F42615"/>
    <w:rsid w:val="55895FEC"/>
    <w:rsid w:val="55ED5EDB"/>
    <w:rsid w:val="560B2BE3"/>
    <w:rsid w:val="56AA0646"/>
    <w:rsid w:val="56E5772A"/>
    <w:rsid w:val="57222921"/>
    <w:rsid w:val="574F0216"/>
    <w:rsid w:val="57A838BD"/>
    <w:rsid w:val="581114CF"/>
    <w:rsid w:val="58416F9F"/>
    <w:rsid w:val="58B95063"/>
    <w:rsid w:val="5A2B00F7"/>
    <w:rsid w:val="5B24577F"/>
    <w:rsid w:val="5B4216D5"/>
    <w:rsid w:val="5B5636DF"/>
    <w:rsid w:val="5B641137"/>
    <w:rsid w:val="5C185F3C"/>
    <w:rsid w:val="5C291B49"/>
    <w:rsid w:val="5C9B5593"/>
    <w:rsid w:val="5CB27CA0"/>
    <w:rsid w:val="5CF80CDE"/>
    <w:rsid w:val="5D9414D1"/>
    <w:rsid w:val="5E394EDC"/>
    <w:rsid w:val="5EA13E10"/>
    <w:rsid w:val="5EC71682"/>
    <w:rsid w:val="5ED36144"/>
    <w:rsid w:val="60EC3577"/>
    <w:rsid w:val="613F1351"/>
    <w:rsid w:val="618E2C45"/>
    <w:rsid w:val="61990B7A"/>
    <w:rsid w:val="61A576A0"/>
    <w:rsid w:val="629B4B04"/>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B309BB"/>
    <w:rsid w:val="700A2548"/>
    <w:rsid w:val="701259C5"/>
    <w:rsid w:val="70167503"/>
    <w:rsid w:val="701E44B3"/>
    <w:rsid w:val="70FB0524"/>
    <w:rsid w:val="715E6AFC"/>
    <w:rsid w:val="71D875F8"/>
    <w:rsid w:val="720F4F8D"/>
    <w:rsid w:val="725B112A"/>
    <w:rsid w:val="72602D8D"/>
    <w:rsid w:val="72806B8D"/>
    <w:rsid w:val="72850F74"/>
    <w:rsid w:val="731F7824"/>
    <w:rsid w:val="735E77E0"/>
    <w:rsid w:val="73EA4F05"/>
    <w:rsid w:val="74576D8C"/>
    <w:rsid w:val="74A02355"/>
    <w:rsid w:val="74DB735A"/>
    <w:rsid w:val="74E70BFE"/>
    <w:rsid w:val="75014766"/>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5239</Words>
  <Characters>5289</Characters>
  <Lines>0</Lines>
  <Paragraphs>0</Paragraphs>
  <TotalTime>8</TotalTime>
  <ScaleCrop>false</ScaleCrop>
  <LinksUpToDate>false</LinksUpToDate>
  <CharactersWithSpaces>5336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欧阳海棠</cp:lastModifiedBy>
  <cp:lastPrinted>2024-09-29T11:30:19Z</cp:lastPrinted>
  <dcterms:modified xsi:type="dcterms:W3CDTF">2024-09-29T11:32:54Z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42019087B14C434BA198769C48C5CF5B</vt:lpwstr>
  </property>
</Properties>
</file>